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3F" w:rsidRPr="007B4A49" w:rsidRDefault="00667A3F" w:rsidP="00667A3F">
      <w:pPr>
        <w:rPr>
          <w:color w:val="833C0B" w:themeColor="accent2" w:themeShade="80"/>
          <w:sz w:val="12"/>
          <w:szCs w:val="12"/>
        </w:rPr>
      </w:pPr>
    </w:p>
    <w:p w:rsidR="00667A3F" w:rsidRDefault="00667A3F" w:rsidP="00667A3F">
      <w:pPr>
        <w:jc w:val="cente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r>
        <w:rPr>
          <w:noProof/>
          <w:color w:val="833C0B" w:themeColor="accent2" w:themeShade="80"/>
          <w:lang w:val="es-MX" w:eastAsia="es-MX"/>
        </w:rPr>
        <w:drawing>
          <wp:anchor distT="0" distB="0" distL="114300" distR="114300" simplePos="0" relativeHeight="251659264" behindDoc="1" locked="0" layoutInCell="1" allowOverlap="1" wp14:anchorId="6F5B192F" wp14:editId="14E22573">
            <wp:simplePos x="0" y="0"/>
            <wp:positionH relativeFrom="page">
              <wp:align>center</wp:align>
            </wp:positionH>
            <wp:positionV relativeFrom="paragraph">
              <wp:posOffset>153726</wp:posOffset>
            </wp:positionV>
            <wp:extent cx="5990590" cy="5995035"/>
            <wp:effectExtent l="0" t="0" r="0" b="5715"/>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4">
                      <a:extLst>
                        <a:ext uri="{28A0092B-C50C-407E-A947-70E740481C1C}">
                          <a14:useLocalDpi xmlns:a14="http://schemas.microsoft.com/office/drawing/2010/main" val="0"/>
                        </a:ext>
                      </a:extLst>
                    </a:blip>
                    <a:stretch>
                      <a:fillRect/>
                    </a:stretch>
                  </pic:blipFill>
                  <pic:spPr>
                    <a:xfrm>
                      <a:off x="0" y="0"/>
                      <a:ext cx="5990590" cy="5995035"/>
                    </a:xfrm>
                    <a:prstGeom prst="rect">
                      <a:avLst/>
                    </a:prstGeom>
                  </pic:spPr>
                </pic:pic>
              </a:graphicData>
            </a:graphic>
            <wp14:sizeRelH relativeFrom="margin">
              <wp14:pctWidth>0</wp14:pctWidth>
            </wp14:sizeRelH>
            <wp14:sizeRelV relativeFrom="margin">
              <wp14:pctHeight>0</wp14:pctHeight>
            </wp14:sizeRelV>
          </wp:anchor>
        </w:drawing>
      </w: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color w:val="833C0B" w:themeColor="accent2" w:themeShade="80"/>
        </w:rPr>
      </w:pPr>
    </w:p>
    <w:p w:rsidR="00667A3F" w:rsidRDefault="00667A3F" w:rsidP="00667A3F">
      <w:pPr>
        <w:rPr>
          <w:noProof/>
          <w:lang w:eastAsia="es-MX"/>
        </w:rPr>
      </w:pPr>
    </w:p>
    <w:p w:rsidR="00667A3F" w:rsidRDefault="00667A3F" w:rsidP="00667A3F">
      <w:pPr>
        <w:rPr>
          <w:noProof/>
          <w:lang w:eastAsia="es-MX"/>
        </w:rPr>
      </w:pPr>
    </w:p>
    <w:p w:rsidR="00667A3F" w:rsidRDefault="00667A3F" w:rsidP="00667A3F">
      <w:pPr>
        <w:rPr>
          <w:color w:val="833C0B" w:themeColor="accent2" w:themeShade="80"/>
        </w:rPr>
      </w:pPr>
    </w:p>
    <w:p w:rsidR="00667A3F" w:rsidRDefault="00667A3F" w:rsidP="00667A3F">
      <w:pPr>
        <w:rPr>
          <w:color w:val="833C0B" w:themeColor="accent2" w:themeShade="80"/>
        </w:rPr>
      </w:pPr>
      <w:r>
        <w:rPr>
          <w:color w:val="833C0B" w:themeColor="accent2" w:themeShade="80"/>
        </w:rPr>
        <w:br w:type="page"/>
      </w:r>
    </w:p>
    <w:p w:rsidR="00667A3F" w:rsidRPr="002D4546" w:rsidRDefault="00667A3F" w:rsidP="00667A3F">
      <w:pPr>
        <w:contextualSpacing/>
        <w:rPr>
          <w:b/>
          <w:sz w:val="28"/>
          <w:szCs w:val="28"/>
        </w:rPr>
      </w:pPr>
      <w:r w:rsidRPr="002D4546">
        <w:rPr>
          <w:b/>
          <w:sz w:val="28"/>
          <w:szCs w:val="28"/>
        </w:rPr>
        <w:lastRenderedPageBreak/>
        <w:t>ESTADO DE MICHOCÁN DE OCAMPO</w:t>
      </w:r>
    </w:p>
    <w:p w:rsidR="00667A3F" w:rsidRPr="002D4546" w:rsidRDefault="00667A3F" w:rsidP="00667A3F">
      <w:pPr>
        <w:contextualSpacing/>
        <w:rPr>
          <w:b/>
          <w:sz w:val="28"/>
          <w:szCs w:val="28"/>
        </w:rPr>
      </w:pPr>
    </w:p>
    <w:p w:rsidR="00667A3F" w:rsidRPr="002D4546" w:rsidRDefault="00667A3F" w:rsidP="00667A3F">
      <w:pPr>
        <w:contextualSpacing/>
        <w:rPr>
          <w:b/>
          <w:sz w:val="28"/>
          <w:szCs w:val="28"/>
        </w:rPr>
      </w:pPr>
      <w:r w:rsidRPr="002D4546">
        <w:rPr>
          <w:b/>
          <w:sz w:val="28"/>
          <w:szCs w:val="28"/>
        </w:rPr>
        <w:t>CUENTA PÚBLICA 2023</w:t>
      </w:r>
    </w:p>
    <w:p w:rsidR="00667A3F" w:rsidRPr="002D4546" w:rsidRDefault="00667A3F" w:rsidP="00667A3F">
      <w:pPr>
        <w:contextualSpacing/>
        <w:rPr>
          <w:b/>
          <w:sz w:val="28"/>
          <w:szCs w:val="28"/>
        </w:rPr>
      </w:pPr>
    </w:p>
    <w:p w:rsidR="00667A3F" w:rsidRPr="002D4546" w:rsidRDefault="00667A3F" w:rsidP="00667A3F">
      <w:pPr>
        <w:contextualSpacing/>
        <w:rPr>
          <w:b/>
          <w:sz w:val="28"/>
          <w:szCs w:val="28"/>
        </w:rPr>
      </w:pPr>
      <w:r w:rsidRPr="002D4546">
        <w:rPr>
          <w:b/>
          <w:sz w:val="28"/>
          <w:szCs w:val="28"/>
        </w:rPr>
        <w:t>CONSOLIDACIÓN DE ESTADOS FINANCIEROS PODERES: EJECUTIVO, LEGISLATIVO Y JUDICIAL Y ORGANISMOS AUTÓNOMOS</w:t>
      </w:r>
    </w:p>
    <w:p w:rsidR="00667A3F" w:rsidRPr="002D4546" w:rsidRDefault="00667A3F" w:rsidP="00667A3F">
      <w:pPr>
        <w:contextualSpacing/>
        <w:rPr>
          <w:sz w:val="28"/>
          <w:szCs w:val="28"/>
        </w:rPr>
      </w:pPr>
    </w:p>
    <w:p w:rsidR="00667A3F" w:rsidRPr="002D4546" w:rsidRDefault="00667A3F" w:rsidP="00667A3F">
      <w:pPr>
        <w:contextualSpacing/>
        <w:rPr>
          <w:b/>
          <w:sz w:val="28"/>
          <w:szCs w:val="28"/>
        </w:rPr>
      </w:pPr>
      <w:r w:rsidRPr="002D4546">
        <w:rPr>
          <w:b/>
          <w:sz w:val="28"/>
          <w:szCs w:val="28"/>
        </w:rPr>
        <w:t>Notas a los Estados Financieros de la Entidad Federativa.</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2023, con los siguientes apartados:</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Notas de Gestión Administrativa</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Notas de Desglose</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Notas de Memoria</w:t>
      </w:r>
    </w:p>
    <w:p w:rsidR="00667A3F" w:rsidRDefault="00667A3F" w:rsidP="00667A3F">
      <w:pPr>
        <w:contextualSpacing/>
        <w:jc w:val="left"/>
        <w:rPr>
          <w:b/>
          <w:bCs/>
          <w:sz w:val="28"/>
          <w:szCs w:val="28"/>
        </w:rPr>
      </w:pPr>
    </w:p>
    <w:p w:rsidR="00667A3F" w:rsidRPr="002D4546" w:rsidRDefault="00667A3F" w:rsidP="00667A3F">
      <w:pPr>
        <w:contextualSpacing/>
        <w:jc w:val="left"/>
        <w:rPr>
          <w:b/>
          <w:bCs/>
          <w:sz w:val="28"/>
          <w:szCs w:val="28"/>
        </w:rPr>
      </w:pPr>
      <w:r w:rsidRPr="002D4546">
        <w:rPr>
          <w:b/>
          <w:bCs/>
          <w:sz w:val="28"/>
          <w:szCs w:val="28"/>
        </w:rPr>
        <w:t>Notas de Gestión Administrativa</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lastRenderedPageBreak/>
        <w:t>Las notas de gestión administrativa de la Entidad Federativa son producto de las notas de cada ente público que lo conforma, mismas que pueden ser consultadas en el respectivo apartado de cada uno de ellos.</w:t>
      </w:r>
    </w:p>
    <w:p w:rsidR="00667A3F" w:rsidRPr="002D4546" w:rsidRDefault="00667A3F" w:rsidP="00667A3F">
      <w:pPr>
        <w:contextualSpacing/>
        <w:rPr>
          <w:b/>
          <w:bCs/>
          <w:sz w:val="28"/>
          <w:szCs w:val="28"/>
        </w:rPr>
      </w:pPr>
      <w:r w:rsidRPr="002D4546">
        <w:rPr>
          <w:b/>
          <w:bCs/>
          <w:sz w:val="28"/>
          <w:szCs w:val="28"/>
        </w:rPr>
        <w:t>Notas de Desglose</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EC49AB">
        <w:rPr>
          <w:b/>
          <w:sz w:val="28"/>
          <w:szCs w:val="28"/>
        </w:rPr>
        <w:t>NOTAS AL ESTADO DE SITUACIÓN FINANCIERA</w:t>
      </w:r>
      <w:r w:rsidRPr="002D4546">
        <w:rPr>
          <w:sz w:val="28"/>
          <w:szCs w:val="28"/>
        </w:rPr>
        <w:t xml:space="preserve"> </w:t>
      </w:r>
    </w:p>
    <w:p w:rsidR="00667A3F" w:rsidRPr="002D4546" w:rsidRDefault="00667A3F" w:rsidP="00667A3F">
      <w:pPr>
        <w:contextualSpacing/>
        <w:rPr>
          <w:sz w:val="28"/>
          <w:szCs w:val="28"/>
        </w:rPr>
      </w:pPr>
    </w:p>
    <w:p w:rsidR="00667A3F" w:rsidRPr="002D4546" w:rsidRDefault="00667A3F" w:rsidP="00667A3F">
      <w:pPr>
        <w:contextualSpacing/>
        <w:rPr>
          <w:b/>
          <w:sz w:val="28"/>
          <w:szCs w:val="28"/>
        </w:rPr>
      </w:pPr>
      <w:r w:rsidRPr="002D4546">
        <w:rPr>
          <w:b/>
          <w:sz w:val="28"/>
          <w:szCs w:val="28"/>
        </w:rPr>
        <w:t>ACTIVO</w:t>
      </w:r>
    </w:p>
    <w:p w:rsidR="00667A3F" w:rsidRPr="002D4546" w:rsidRDefault="00667A3F" w:rsidP="00667A3F">
      <w:pPr>
        <w:contextualSpacing/>
        <w:rPr>
          <w:b/>
          <w:sz w:val="28"/>
          <w:szCs w:val="28"/>
        </w:rPr>
      </w:pPr>
    </w:p>
    <w:p w:rsidR="00667A3F" w:rsidRPr="002D4546" w:rsidRDefault="00667A3F" w:rsidP="00667A3F">
      <w:pPr>
        <w:contextualSpacing/>
        <w:rPr>
          <w:b/>
          <w:sz w:val="28"/>
          <w:szCs w:val="28"/>
        </w:rPr>
      </w:pPr>
      <w:r w:rsidRPr="002D4546">
        <w:rPr>
          <w:b/>
          <w:sz w:val="28"/>
          <w:szCs w:val="28"/>
        </w:rPr>
        <w:t>• Efectivo y Equivalentes</w:t>
      </w:r>
    </w:p>
    <w:p w:rsidR="00667A3F" w:rsidRPr="002D4546" w:rsidRDefault="00667A3F" w:rsidP="00667A3F">
      <w:pPr>
        <w:contextualSpacing/>
        <w:rPr>
          <w:b/>
          <w:sz w:val="28"/>
          <w:szCs w:val="28"/>
        </w:rPr>
      </w:pPr>
    </w:p>
    <w:p w:rsidR="00667A3F" w:rsidRPr="002D4546" w:rsidRDefault="00667A3F" w:rsidP="00667A3F">
      <w:pPr>
        <w:contextualSpacing/>
        <w:rPr>
          <w:sz w:val="28"/>
          <w:szCs w:val="28"/>
        </w:rPr>
      </w:pPr>
      <w:r w:rsidRPr="002D4546">
        <w:rPr>
          <w:sz w:val="28"/>
          <w:szCs w:val="28"/>
        </w:rPr>
        <w:t>En este apartado se integran los recursos monetarios que manejan la Entidad Federativa, en cuentas bancarias en moneda nacional, aquellos que están en los poderes Ejecutivo, Legislativo, Judicial y Autónomos. A continuación, se presenta la integración de este rubro:</w:t>
      </w: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42C36C8B" wp14:editId="5E27DA13">
            <wp:extent cx="3543300" cy="11715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Pr="002D4546" w:rsidRDefault="00667A3F" w:rsidP="00667A3F">
      <w:pPr>
        <w:contextualSpacing/>
        <w:rPr>
          <w:b/>
          <w:sz w:val="28"/>
          <w:szCs w:val="28"/>
        </w:rPr>
      </w:pPr>
      <w:r w:rsidRPr="002D4546">
        <w:rPr>
          <w:sz w:val="28"/>
          <w:szCs w:val="28"/>
        </w:rPr>
        <w:t xml:space="preserve">• </w:t>
      </w:r>
      <w:r w:rsidRPr="002D4546">
        <w:rPr>
          <w:b/>
          <w:sz w:val="28"/>
          <w:szCs w:val="28"/>
        </w:rPr>
        <w:t>Derechos a recibir Efectivo o Equivalentes</w:t>
      </w:r>
    </w:p>
    <w:p w:rsidR="00667A3F" w:rsidRPr="002D4546" w:rsidRDefault="00667A3F" w:rsidP="00667A3F">
      <w:pPr>
        <w:contextualSpacing/>
        <w:rPr>
          <w:sz w:val="28"/>
          <w:szCs w:val="28"/>
        </w:rPr>
      </w:pPr>
    </w:p>
    <w:p w:rsidR="00667A3F" w:rsidRDefault="00667A3F" w:rsidP="00667A3F">
      <w:pPr>
        <w:contextualSpacing/>
        <w:rPr>
          <w:sz w:val="28"/>
          <w:szCs w:val="28"/>
        </w:rPr>
      </w:pPr>
      <w:r w:rsidRPr="002D4546">
        <w:rPr>
          <w:sz w:val="28"/>
          <w:szCs w:val="28"/>
        </w:rPr>
        <w:lastRenderedPageBreak/>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39E5F2FA" wp14:editId="45A74620">
            <wp:extent cx="3543300" cy="11715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xml:space="preserve">• </w:t>
      </w:r>
      <w:r w:rsidRPr="002D4546">
        <w:rPr>
          <w:b/>
          <w:sz w:val="28"/>
          <w:szCs w:val="28"/>
        </w:rPr>
        <w:t>Inventarios y Almacenes</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Estos se conforman por aquellos bienes que se adquieren como materia prima para llevar a cabo elaboraciones, por materiales y suministros que serán utilizados en los procesos administrativos correspondientes, a continuación, se presenta la integración de este rubro:</w:t>
      </w:r>
    </w:p>
    <w:p w:rsidR="00667A3F" w:rsidRPr="002D4546" w:rsidRDefault="00667A3F" w:rsidP="00667A3F">
      <w:pPr>
        <w:contextualSpacing/>
        <w:rPr>
          <w:sz w:val="28"/>
          <w:szCs w:val="28"/>
        </w:rPr>
      </w:pPr>
    </w:p>
    <w:p w:rsidR="00667A3F" w:rsidRDefault="00667A3F" w:rsidP="00667A3F">
      <w:pPr>
        <w:contextualSpacing/>
        <w:jc w:val="center"/>
        <w:rPr>
          <w:sz w:val="28"/>
          <w:szCs w:val="28"/>
        </w:rPr>
      </w:pPr>
      <w:r w:rsidRPr="002D4546">
        <w:rPr>
          <w:noProof/>
          <w:sz w:val="28"/>
          <w:szCs w:val="28"/>
          <w:lang w:val="es-MX" w:eastAsia="es-MX"/>
        </w:rPr>
        <w:drawing>
          <wp:inline distT="0" distB="0" distL="0" distR="0" wp14:anchorId="3D3A0348" wp14:editId="759CA9D5">
            <wp:extent cx="3543300" cy="11715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jc w:val="center"/>
        <w:rPr>
          <w:sz w:val="28"/>
          <w:szCs w:val="28"/>
        </w:rPr>
      </w:pPr>
    </w:p>
    <w:p w:rsidR="00667A3F" w:rsidRDefault="00667A3F" w:rsidP="00667A3F">
      <w:pPr>
        <w:contextualSpacing/>
        <w:rPr>
          <w:b/>
          <w:sz w:val="28"/>
          <w:szCs w:val="28"/>
        </w:rPr>
      </w:pPr>
      <w:r w:rsidRPr="002D4546">
        <w:rPr>
          <w:sz w:val="28"/>
          <w:szCs w:val="28"/>
        </w:rPr>
        <w:t xml:space="preserve">• </w:t>
      </w:r>
      <w:r>
        <w:rPr>
          <w:b/>
          <w:sz w:val="28"/>
          <w:szCs w:val="28"/>
        </w:rPr>
        <w:t xml:space="preserve">Inversiones Financieras </w:t>
      </w:r>
    </w:p>
    <w:p w:rsidR="00667A3F" w:rsidRPr="002D4546" w:rsidRDefault="00667A3F" w:rsidP="00667A3F">
      <w:pPr>
        <w:contextualSpacing/>
        <w:rPr>
          <w:sz w:val="28"/>
          <w:szCs w:val="28"/>
        </w:rPr>
      </w:pPr>
    </w:p>
    <w:p w:rsidR="00667A3F" w:rsidRDefault="00667A3F" w:rsidP="00667A3F">
      <w:pPr>
        <w:contextualSpacing/>
        <w:rPr>
          <w:sz w:val="28"/>
          <w:szCs w:val="28"/>
        </w:rPr>
      </w:pPr>
      <w:r w:rsidRPr="002D4546">
        <w:rPr>
          <w:sz w:val="28"/>
          <w:szCs w:val="28"/>
        </w:rPr>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 paraestatales, destinados a apoyar actividades productivas y/o prioritarias. A continuación, se presenta la integración de este rubro:</w:t>
      </w:r>
    </w:p>
    <w:p w:rsidR="00667A3F" w:rsidRPr="002D4546" w:rsidRDefault="00667A3F" w:rsidP="00667A3F">
      <w:pPr>
        <w:contextualSpacing/>
        <w:jc w:val="center"/>
        <w:rPr>
          <w:sz w:val="28"/>
          <w:szCs w:val="28"/>
        </w:rPr>
      </w:pPr>
      <w:r w:rsidRPr="008E7CB1">
        <w:rPr>
          <w:noProof/>
          <w:lang w:val="es-MX" w:eastAsia="es-MX"/>
        </w:rPr>
        <w:drawing>
          <wp:inline distT="0" distB="0" distL="0" distR="0" wp14:anchorId="162C57ED" wp14:editId="3E35E934">
            <wp:extent cx="3541395" cy="1173480"/>
            <wp:effectExtent l="0" t="0" r="190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1395" cy="1173480"/>
                    </a:xfrm>
                    <a:prstGeom prst="rect">
                      <a:avLst/>
                    </a:prstGeom>
                    <a:noFill/>
                    <a:ln>
                      <a:noFill/>
                    </a:ln>
                  </pic:spPr>
                </pic:pic>
              </a:graphicData>
            </a:graphic>
          </wp:inline>
        </w:drawing>
      </w:r>
    </w:p>
    <w:p w:rsidR="00667A3F"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xml:space="preserve">El detalle correspondiente a las inversiones del Poder ejecutivo, se encuentran </w:t>
      </w:r>
      <w:r>
        <w:rPr>
          <w:sz w:val="28"/>
          <w:szCs w:val="28"/>
        </w:rPr>
        <w:t xml:space="preserve">en </w:t>
      </w:r>
      <w:r w:rsidRPr="002D4546">
        <w:rPr>
          <w:sz w:val="28"/>
          <w:szCs w:val="28"/>
        </w:rPr>
        <w:t>el Tomo III de la Cuenta Pública que se entrega.</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 xml:space="preserve">• </w:t>
      </w:r>
      <w:r w:rsidRPr="002D4546">
        <w:rPr>
          <w:b/>
          <w:sz w:val="28"/>
          <w:szCs w:val="28"/>
        </w:rPr>
        <w:t>Bienes Muebles, Inmuebles e Intangibles</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Se conforma por los bienes tangibles e intangibles necesarios para llevar a cabo las actividades de gobierno y las obras en proceso que se realizan en los diferentes inmuebles.</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Se presenta la integración de los bienes inmuebles al 31 de diciembre de 2023:</w:t>
      </w: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35403C05" wp14:editId="7C4B5445">
            <wp:extent cx="3543300" cy="11715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A continuación, se presenta la integración de los bienes muebles al 31 de diciembre de 2023:</w:t>
      </w: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70ECCDB4" wp14:editId="479C6F4C">
            <wp:extent cx="3542030" cy="1170305"/>
            <wp:effectExtent l="0" t="0" r="127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1170305"/>
                    </a:xfrm>
                    <a:prstGeom prst="rect">
                      <a:avLst/>
                    </a:prstGeom>
                    <a:noFill/>
                  </pic:spPr>
                </pic:pic>
              </a:graphicData>
            </a:graphic>
          </wp:inline>
        </w:drawing>
      </w:r>
    </w:p>
    <w:p w:rsidR="00667A3F" w:rsidRPr="002D4546" w:rsidRDefault="00667A3F" w:rsidP="00667A3F">
      <w:pPr>
        <w:contextualSpacing/>
        <w:jc w:val="center"/>
        <w:rPr>
          <w:sz w:val="28"/>
          <w:szCs w:val="28"/>
        </w:rPr>
      </w:pPr>
    </w:p>
    <w:p w:rsidR="00667A3F" w:rsidRPr="002D4546" w:rsidRDefault="00667A3F" w:rsidP="00667A3F">
      <w:pPr>
        <w:contextualSpacing/>
        <w:rPr>
          <w:sz w:val="28"/>
          <w:szCs w:val="28"/>
        </w:rPr>
      </w:pPr>
      <w:r w:rsidRPr="002D4546">
        <w:rPr>
          <w:sz w:val="28"/>
          <w:szCs w:val="28"/>
        </w:rPr>
        <w:t>Se presenta la integración de Intangibles al 31 de diciembre de 2023:</w:t>
      </w: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576688A8" wp14:editId="13956AE7">
            <wp:extent cx="3543300" cy="117157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jc w:val="center"/>
        <w:rPr>
          <w:sz w:val="28"/>
          <w:szCs w:val="28"/>
        </w:rPr>
      </w:pPr>
    </w:p>
    <w:p w:rsidR="00667A3F" w:rsidRPr="002D4546" w:rsidRDefault="00667A3F" w:rsidP="00667A3F">
      <w:pPr>
        <w:contextualSpacing/>
        <w:rPr>
          <w:b/>
          <w:sz w:val="28"/>
          <w:szCs w:val="28"/>
        </w:rPr>
      </w:pPr>
      <w:r w:rsidRPr="002D4546">
        <w:rPr>
          <w:b/>
          <w:sz w:val="28"/>
          <w:szCs w:val="28"/>
        </w:rPr>
        <w:t>PASIVO</w:t>
      </w:r>
    </w:p>
    <w:p w:rsidR="00667A3F"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lastRenderedPageBreak/>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6632D989" wp14:editId="47D050C2">
            <wp:extent cx="3543300" cy="11715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Pr="002D4546" w:rsidRDefault="00667A3F" w:rsidP="00667A3F">
      <w:pPr>
        <w:contextualSpacing/>
        <w:rPr>
          <w:b/>
          <w:sz w:val="28"/>
          <w:szCs w:val="28"/>
        </w:rPr>
      </w:pPr>
      <w:r w:rsidRPr="002D4546">
        <w:rPr>
          <w:b/>
          <w:sz w:val="28"/>
          <w:szCs w:val="28"/>
        </w:rPr>
        <w:t>NOTAS AL ESTADO DE ACTIVIDADES</w:t>
      </w:r>
    </w:p>
    <w:p w:rsidR="00667A3F" w:rsidRPr="002D4546" w:rsidRDefault="00667A3F" w:rsidP="00667A3F">
      <w:pPr>
        <w:contextualSpacing/>
        <w:rPr>
          <w:sz w:val="28"/>
          <w:szCs w:val="28"/>
        </w:rPr>
      </w:pPr>
    </w:p>
    <w:p w:rsidR="00667A3F" w:rsidRDefault="00667A3F" w:rsidP="00667A3F">
      <w:pPr>
        <w:contextualSpacing/>
        <w:rPr>
          <w:sz w:val="28"/>
          <w:szCs w:val="28"/>
        </w:rPr>
      </w:pPr>
      <w:r w:rsidRPr="002D4546">
        <w:rPr>
          <w:sz w:val="28"/>
          <w:szCs w:val="28"/>
        </w:rPr>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w:t>
      </w:r>
      <w:r>
        <w:rPr>
          <w:sz w:val="28"/>
          <w:szCs w:val="28"/>
        </w:rPr>
        <w:t xml:space="preserve"> del ejercicio</w:t>
      </w:r>
      <w:r w:rsidRPr="002D4546">
        <w:rPr>
          <w:sz w:val="28"/>
          <w:szCs w:val="28"/>
        </w:rPr>
        <w:t>, el cual, para este ejercicio, ascendió a:</w:t>
      </w: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A015AB">
        <w:rPr>
          <w:noProof/>
          <w:lang w:val="es-MX" w:eastAsia="es-MX"/>
        </w:rPr>
        <w:lastRenderedPageBreak/>
        <w:drawing>
          <wp:inline distT="0" distB="0" distL="0" distR="0" wp14:anchorId="1DB70336" wp14:editId="1102F534">
            <wp:extent cx="3543300" cy="1171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Pr="00A015AB" w:rsidRDefault="00667A3F" w:rsidP="00667A3F">
      <w:pPr>
        <w:contextualSpacing/>
        <w:rPr>
          <w:b/>
          <w:sz w:val="28"/>
          <w:szCs w:val="28"/>
        </w:rPr>
      </w:pPr>
      <w:r w:rsidRPr="00A015AB">
        <w:rPr>
          <w:b/>
          <w:sz w:val="28"/>
          <w:szCs w:val="28"/>
        </w:rPr>
        <w:t>NOTAS AL ESTADO DE VARIACIÓN DE LA HACIENDA PÚBLICA/PATRIMONIO</w:t>
      </w:r>
    </w:p>
    <w:p w:rsidR="00667A3F" w:rsidRPr="00A015AB" w:rsidRDefault="00667A3F" w:rsidP="00667A3F">
      <w:pPr>
        <w:contextualSpacing/>
        <w:rPr>
          <w:b/>
          <w:sz w:val="28"/>
          <w:szCs w:val="28"/>
        </w:rPr>
      </w:pPr>
    </w:p>
    <w:p w:rsidR="00667A3F" w:rsidRDefault="00667A3F" w:rsidP="00667A3F">
      <w:pPr>
        <w:contextualSpacing/>
        <w:rPr>
          <w:sz w:val="28"/>
          <w:szCs w:val="28"/>
        </w:rPr>
      </w:pPr>
      <w:r w:rsidRPr="002D4546">
        <w:rPr>
          <w:sz w:val="28"/>
          <w:szCs w:val="28"/>
        </w:rPr>
        <w:t>Este Estado muestra el monto de la Hacienda Pública/Patrimonio al 31 de diciembre de 2023 y se conforma como sigue:</w:t>
      </w:r>
    </w:p>
    <w:p w:rsidR="00667A3F" w:rsidRDefault="00667A3F" w:rsidP="00667A3F">
      <w:pPr>
        <w:contextualSpacing/>
        <w:rPr>
          <w:sz w:val="28"/>
          <w:szCs w:val="28"/>
        </w:rPr>
      </w:pPr>
    </w:p>
    <w:p w:rsidR="00667A3F" w:rsidRPr="002D4546" w:rsidRDefault="00667A3F" w:rsidP="00667A3F">
      <w:pPr>
        <w:contextualSpacing/>
        <w:rPr>
          <w:sz w:val="28"/>
          <w:szCs w:val="28"/>
        </w:rPr>
      </w:pP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1F7175">
        <w:rPr>
          <w:noProof/>
          <w:lang w:val="es-MX" w:eastAsia="es-MX"/>
        </w:rPr>
        <w:drawing>
          <wp:inline distT="0" distB="0" distL="0" distR="0" wp14:anchorId="3985836A" wp14:editId="520F43D6">
            <wp:extent cx="3541395" cy="1173480"/>
            <wp:effectExtent l="0" t="0" r="190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395" cy="1173480"/>
                    </a:xfrm>
                    <a:prstGeom prst="rect">
                      <a:avLst/>
                    </a:prstGeom>
                    <a:noFill/>
                    <a:ln>
                      <a:noFill/>
                    </a:ln>
                  </pic:spPr>
                </pic:pic>
              </a:graphicData>
            </a:graphic>
          </wp:inline>
        </w:drawing>
      </w:r>
    </w:p>
    <w:p w:rsidR="00667A3F" w:rsidRDefault="00667A3F" w:rsidP="00667A3F">
      <w:pPr>
        <w:contextualSpacing/>
        <w:rPr>
          <w:sz w:val="28"/>
          <w:szCs w:val="28"/>
        </w:rPr>
      </w:pPr>
    </w:p>
    <w:p w:rsidR="00667A3F" w:rsidRPr="00A015AB" w:rsidRDefault="00667A3F" w:rsidP="00667A3F">
      <w:pPr>
        <w:contextualSpacing/>
        <w:rPr>
          <w:b/>
          <w:sz w:val="28"/>
          <w:szCs w:val="28"/>
        </w:rPr>
      </w:pPr>
      <w:r w:rsidRPr="00A015AB">
        <w:rPr>
          <w:b/>
          <w:sz w:val="28"/>
          <w:szCs w:val="28"/>
        </w:rPr>
        <w:t>NOTAS AL ESTADO DE FLUJO DE EFECTIVO</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Flujo de Efectivo de las Actividades de Gestión, Inversión y Financiamiento</w:t>
      </w:r>
      <w:r>
        <w:rPr>
          <w:sz w:val="28"/>
          <w:szCs w:val="28"/>
        </w:rPr>
        <w:t>.</w:t>
      </w:r>
    </w:p>
    <w:p w:rsidR="00667A3F" w:rsidRPr="002D4546" w:rsidRDefault="00667A3F" w:rsidP="00667A3F">
      <w:pPr>
        <w:contextualSpacing/>
        <w:rPr>
          <w:sz w:val="28"/>
          <w:szCs w:val="28"/>
        </w:rPr>
      </w:pPr>
    </w:p>
    <w:p w:rsidR="00667A3F" w:rsidRDefault="00667A3F" w:rsidP="00667A3F">
      <w:pPr>
        <w:contextualSpacing/>
        <w:rPr>
          <w:sz w:val="28"/>
          <w:szCs w:val="28"/>
        </w:rPr>
      </w:pPr>
      <w:r w:rsidRPr="002D4546">
        <w:rPr>
          <w:sz w:val="28"/>
          <w:szCs w:val="28"/>
        </w:rPr>
        <w:t>La Entidad Federativa</w:t>
      </w:r>
      <w:r>
        <w:rPr>
          <w:sz w:val="28"/>
          <w:szCs w:val="28"/>
        </w:rPr>
        <w:t>,</w:t>
      </w:r>
      <w:r w:rsidRPr="002D4546">
        <w:rPr>
          <w:sz w:val="28"/>
          <w:szCs w:val="28"/>
        </w:rPr>
        <w:t xml:space="preserve"> Los Poderes Ejecutivo, Legislativo y Judicial, así como los Órganos </w:t>
      </w:r>
      <w:r w:rsidRPr="002D4546">
        <w:rPr>
          <w:sz w:val="28"/>
          <w:szCs w:val="28"/>
        </w:rPr>
        <w:lastRenderedPageBreak/>
        <w:t>Autónomos, por el periodo comprendido del 1 de enero al 31 de diciembre de 2023 refleja lo siguiente:</w:t>
      </w:r>
    </w:p>
    <w:p w:rsidR="00667A3F" w:rsidRPr="002D4546" w:rsidRDefault="00667A3F" w:rsidP="00667A3F">
      <w:pPr>
        <w:contextualSpacing/>
        <w:rPr>
          <w:sz w:val="28"/>
          <w:szCs w:val="28"/>
        </w:rPr>
      </w:pPr>
    </w:p>
    <w:p w:rsidR="00667A3F" w:rsidRPr="002D4546" w:rsidRDefault="00667A3F" w:rsidP="00667A3F">
      <w:pPr>
        <w:contextualSpacing/>
        <w:jc w:val="center"/>
        <w:rPr>
          <w:sz w:val="28"/>
          <w:szCs w:val="28"/>
        </w:rPr>
      </w:pPr>
      <w:r w:rsidRPr="002D4546">
        <w:rPr>
          <w:noProof/>
          <w:sz w:val="28"/>
          <w:szCs w:val="28"/>
          <w:lang w:val="es-MX" w:eastAsia="es-MX"/>
        </w:rPr>
        <w:drawing>
          <wp:inline distT="0" distB="0" distL="0" distR="0" wp14:anchorId="2EAA49C7" wp14:editId="55DD1362">
            <wp:extent cx="4772025" cy="18669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1866900"/>
                    </a:xfrm>
                    <a:prstGeom prst="rect">
                      <a:avLst/>
                    </a:prstGeom>
                    <a:noFill/>
                    <a:ln>
                      <a:noFill/>
                    </a:ln>
                  </pic:spPr>
                </pic:pic>
              </a:graphicData>
            </a:graphic>
          </wp:inline>
        </w:drawing>
      </w:r>
    </w:p>
    <w:p w:rsidR="00667A3F" w:rsidRPr="002D4546" w:rsidRDefault="00667A3F" w:rsidP="00667A3F">
      <w:pPr>
        <w:contextualSpacing/>
        <w:rPr>
          <w:sz w:val="28"/>
          <w:szCs w:val="28"/>
        </w:rPr>
      </w:pPr>
    </w:p>
    <w:p w:rsidR="00667A3F" w:rsidRDefault="00667A3F" w:rsidP="00667A3F">
      <w:pPr>
        <w:contextualSpacing/>
        <w:rPr>
          <w:b/>
          <w:sz w:val="28"/>
          <w:szCs w:val="28"/>
        </w:rPr>
      </w:pPr>
    </w:p>
    <w:p w:rsidR="00667A3F" w:rsidRDefault="00667A3F" w:rsidP="00667A3F">
      <w:pPr>
        <w:contextualSpacing/>
        <w:rPr>
          <w:b/>
          <w:sz w:val="28"/>
          <w:szCs w:val="28"/>
        </w:rPr>
      </w:pPr>
    </w:p>
    <w:p w:rsidR="00667A3F" w:rsidRPr="00544EC8" w:rsidRDefault="00667A3F" w:rsidP="00667A3F">
      <w:pPr>
        <w:contextualSpacing/>
        <w:rPr>
          <w:b/>
          <w:sz w:val="28"/>
          <w:szCs w:val="28"/>
        </w:rPr>
      </w:pPr>
      <w:r w:rsidRPr="00544EC8">
        <w:rPr>
          <w:b/>
          <w:sz w:val="28"/>
          <w:szCs w:val="28"/>
        </w:rPr>
        <w:t>Notas de Memoria</w:t>
      </w:r>
    </w:p>
    <w:p w:rsidR="00667A3F" w:rsidRPr="002D4546" w:rsidRDefault="00667A3F" w:rsidP="00667A3F">
      <w:pPr>
        <w:contextualSpacing/>
        <w:rPr>
          <w:sz w:val="28"/>
          <w:szCs w:val="28"/>
        </w:rPr>
      </w:pPr>
    </w:p>
    <w:p w:rsidR="00667A3F" w:rsidRPr="002D4546" w:rsidRDefault="00667A3F" w:rsidP="00667A3F">
      <w:pPr>
        <w:contextualSpacing/>
        <w:rPr>
          <w:sz w:val="28"/>
          <w:szCs w:val="28"/>
        </w:rPr>
      </w:pPr>
      <w:r w:rsidRPr="002D4546">
        <w:rPr>
          <w:sz w:val="28"/>
          <w:szCs w:val="28"/>
        </w:rPr>
        <w:t>Las notas de memoria de la Entidad Federativa son producto de las notas de cada ente público que lo conforma, mismas que pueden ser consultadas en el respectivo apartado de cada uno de ellos.</w:t>
      </w:r>
    </w:p>
    <w:p w:rsidR="00667A3F" w:rsidRPr="002D4546" w:rsidRDefault="00667A3F" w:rsidP="00667A3F">
      <w:pPr>
        <w:contextualSpacing/>
        <w:rPr>
          <w:sz w:val="28"/>
          <w:szCs w:val="28"/>
        </w:rPr>
      </w:pPr>
    </w:p>
    <w:p w:rsidR="00667A3F" w:rsidRPr="002D4546" w:rsidRDefault="00667A3F" w:rsidP="00667A3F">
      <w:pPr>
        <w:contextualSpacing/>
        <w:rPr>
          <w:b/>
          <w:sz w:val="28"/>
          <w:szCs w:val="28"/>
        </w:rPr>
      </w:pPr>
      <w:r w:rsidRPr="002D4546">
        <w:rPr>
          <w:b/>
          <w:sz w:val="28"/>
          <w:szCs w:val="28"/>
        </w:rPr>
        <w:t>Nota de Consolidación</w:t>
      </w:r>
    </w:p>
    <w:p w:rsidR="00667A3F" w:rsidRDefault="00667A3F" w:rsidP="00667A3F">
      <w:pPr>
        <w:contextualSpacing/>
      </w:pPr>
      <w:r w:rsidRPr="002D4546">
        <w:rPr>
          <w:sz w:val="28"/>
          <w:szCs w:val="28"/>
        </w:rPr>
        <w:t xml:space="preserve">Conforme al Acuerdo por el que se armoniza la estructura de las cuentas públicas, emitido por el Consejo Nacional de Armonización Contable, en el Diario Oficial de la Federación el 30 de diciembre de 2013, reformado el 6 de octubre de 2014 y 29 de febrero de 2016, referente a la norma en materia de consolidación de estados financieros de la Entidad </w:t>
      </w:r>
      <w:r w:rsidRPr="002D4546">
        <w:rPr>
          <w:sz w:val="28"/>
          <w:szCs w:val="28"/>
        </w:rPr>
        <w:lastRenderedPageBreak/>
        <w:t xml:space="preserve">Federativa y demás información contable, que tiene por objetivo la presentación de información financiera de varios entes públicos como si fuera un sector institucional, el método consiste en la eliminación de las transacciones y/o saldos entre los entes públicos que se consolidan. Conforme a la norma NOR_01_04_007 del día 24 de septiembre de 2014 para efectos de consolidación. Del Estado de Actividades Consolidado, se deben eliminar las transacciones generadas por una relación de Ingreso-Gasto por conceptos de Transferencias, Asignaciones, Subsidios y Otras ayudas. Del Estado de Situación Financiera Consolidado, se deben eliminar los saldos derivados de la relación </w:t>
      </w:r>
      <w:proofErr w:type="spellStart"/>
      <w:r w:rsidRPr="002D4546">
        <w:rPr>
          <w:sz w:val="28"/>
          <w:szCs w:val="28"/>
        </w:rPr>
        <w:t>DeudorAcreedor</w:t>
      </w:r>
      <w:proofErr w:type="spellEnd"/>
      <w:r w:rsidRPr="002D4546">
        <w:rPr>
          <w:sz w:val="28"/>
          <w:szCs w:val="28"/>
        </w:rPr>
        <w:t xml:space="preserve"> por concepto de Participaciones y Aportaciones de Capital (del rubro Inversiones Financieras a Largo Plazo) con el rubro de Aportaciones (del grupo Hacienda Pública/Patrimonio Contribuido.</w:t>
      </w:r>
    </w:p>
    <w:p w:rsidR="00667A3F" w:rsidRDefault="00667A3F" w:rsidP="00667A3F">
      <w:pPr>
        <w:contextualSpacing/>
      </w:pPr>
      <w:bookmarkStart w:id="0" w:name="_GoBack"/>
      <w:bookmarkEnd w:id="0"/>
    </w:p>
    <w:sectPr w:rsidR="00667A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3F"/>
    <w:rsid w:val="00231ECA"/>
    <w:rsid w:val="00667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BA83D-62EA-41EA-AD0C-E643747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A3F"/>
    <w:pPr>
      <w:spacing w:before="60" w:after="60" w:line="360" w:lineRule="auto"/>
      <w:jc w:val="both"/>
    </w:pPr>
    <w:rPr>
      <w:rFonts w:ascii="GalanoGrotesque-Light" w:hAnsi="GalanoGrotesque-Ligh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900</Words>
  <Characters>4952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Suelem Janeth González Rodríguez</dc:creator>
  <cp:keywords/>
  <dc:description/>
  <cp:lastModifiedBy>Suelem Janeth González Rodríguez</cp:lastModifiedBy>
  <cp:revision>1</cp:revision>
  <dcterms:created xsi:type="dcterms:W3CDTF">2024-05-02T14:58:00Z</dcterms:created>
  <dcterms:modified xsi:type="dcterms:W3CDTF">2024-05-02T14:59:00Z</dcterms:modified>
</cp:coreProperties>
</file>